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-5"/>
      </w:pPr>
      <w:r>
        <w:rPr>
          <w:sz w:val="28"/>
        </w:rPr>
        <w:t>附表</w:t>
      </w:r>
      <w:r>
        <w:rPr>
          <w:rFonts w:ascii="Times New Roman" w:hAnsi="Times New Roman" w:eastAsia="Times New Roman" w:cs="Times New Roman"/>
          <w:sz w:val="28"/>
        </w:rPr>
        <w:t>1</w:t>
      </w:r>
      <w:r>
        <w:rPr>
          <w:sz w:val="28"/>
        </w:rPr>
        <w:t>：研究方向简介</w:t>
      </w:r>
    </w:p>
    <w:tbl>
      <w:tblPr>
        <w:tblStyle w:val="5"/>
        <w:tblW w:w="13613" w:type="dxa"/>
        <w:tblInd w:w="-360" w:type="dxa"/>
        <w:tblLayout w:type="autofit"/>
        <w:tblCellMar>
          <w:top w:w="0" w:type="dxa"/>
          <w:left w:w="106" w:type="dxa"/>
          <w:bottom w:w="0" w:type="dxa"/>
          <w:right w:w="5" w:type="dxa"/>
        </w:tblCellMar>
      </w:tblPr>
      <w:tblGrid>
        <w:gridCol w:w="696"/>
        <w:gridCol w:w="1517"/>
        <w:gridCol w:w="6360"/>
        <w:gridCol w:w="5040"/>
      </w:tblGrid>
      <w:tr>
        <w:tblPrEx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533" w:hRule="atLeast"/>
        </w:trPr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1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类 别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6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培养目标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1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支撑课程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1733" w:hRule="atLeast"/>
        </w:trPr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6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综合素质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掌握本学科前沿，适当了解其他领域研究成果，具有广博的科学视野和将不同领域知识相结合的能力；具备良好的科研写作能力、国内外学术交流能力和解决管理工程领域实际问题的能力，富有创新和开拓精神；身心健康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3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新时代中国特色社会主义理论与实践、自然辩证法</w:t>
            </w:r>
          </w:p>
          <w:p>
            <w:pPr>
              <w:spacing w:after="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（自然）、研究生英语、口语、论文写作与学术规范、管理研究方法、中国传统文化、科研素养与创新能力等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1838" w:hRule="atLeast"/>
        </w:trPr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6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综合能力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了解管理科学与工程学科的进展、动向和发展前沿，掌握管理科学与工程学科的基础理论和系统的专门知识；具备文献分析、实地调研、数据分析建模和仿真的能力；能够有效应用管理学、经济学、系统科学、应用数学、计算机科学与技术等多学科交叉知识和专业技术解决现实问题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数理统计、高级运筹学、决策理论与方法、复杂系统理论与方法、数据科学理论与方法、博弈论、服务科学与管理、大数据与商业智能、物流与供应链管理、现代工业工程、管理科学与工程前沿等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1877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研究方向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管理科学理论方法与应用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掌握管理科学基础理论与方法，灵活运用决策理论与方法、管理博弈、风险管理和应急管理等知识研究管理科学领域的实际问题，在现代管理中的系统工程、预测与决策、管理评价、灾害应急管理等方面，为政府部门、企事业单位提供理论技术支持和政策建议，取得符合培养要求的研究成果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管理研究方法、高级运筹学、复杂系统理论与方法、计量经济分析、博弈论、应急管理与决策、管理科学与工程前沿专题等</w:t>
            </w:r>
          </w:p>
        </w:tc>
      </w:tr>
      <w:tr>
        <w:tblPrEx>
          <w:tblCellMar>
            <w:top w:w="0" w:type="dxa"/>
            <w:left w:w="106" w:type="dxa"/>
            <w:bottom w:w="0" w:type="dxa"/>
            <w:right w:w="5" w:type="dxa"/>
          </w:tblCellMar>
        </w:tblPrEx>
        <w:trPr>
          <w:trHeight w:val="192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数据管理与智能决策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掌握现代管理与智能科学的理论知识、灵活利用运用复杂网络、数据挖掘、社会计算等技术和方法，在管理信息系统和决策支持系统的设计、信息系统的规划方法和安全机制及评估体系、电子商务与电子政务智能商务模式、数据挖掘与数据分析技术等方面，取得符合培养要求的研究成果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管理研究方法、高级运筹学、复杂系统理论与方法、数理统计、信息系统与信息资源管理、大数据与商业智能等。</w:t>
            </w:r>
          </w:p>
        </w:tc>
      </w:tr>
    </w:tbl>
    <w:p>
      <w:pPr>
        <w:spacing w:after="86"/>
        <w:ind w:left="10" w:right="-15" w:hanging="10"/>
        <w:jc w:val="right"/>
      </w:pPr>
      <w:r>
        <w:rPr>
          <w:rFonts w:ascii="宋体" w:hAnsi="宋体" w:eastAsia="宋体" w:cs="宋体"/>
          <w:sz w:val="21"/>
        </w:rPr>
        <w:t>315</w:t>
      </w:r>
    </w:p>
    <w:p>
      <w:pPr>
        <w:spacing w:after="0"/>
        <w:ind w:left="495" w:hanging="10"/>
      </w:pPr>
      <w:r>
        <w:rPr>
          <w:rFonts w:ascii="微软雅黑" w:hAnsi="微软雅黑" w:eastAsia="微软雅黑" w:cs="微软雅黑"/>
          <w:sz w:val="21"/>
        </w:rPr>
        <w:t>学术学位硕士研究生培养方案</w:t>
      </w:r>
    </w:p>
    <w:p>
      <w:pPr>
        <w:spacing w:after="173"/>
        <w:ind w:left="-355" w:right="-6648"/>
      </w:pPr>
      <w:r>
        <mc:AlternateContent>
          <mc:Choice Requires="wpg">
            <w:drawing>
              <wp:inline distT="0" distB="0" distL="0" distR="0">
                <wp:extent cx="8641080" cy="5715"/>
                <wp:effectExtent l="0" t="0" r="0" b="0"/>
                <wp:docPr id="35679" name="Group 35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1080" cy="6096"/>
                          <a:chOff x="0" y="0"/>
                          <a:chExt cx="8641080" cy="6096"/>
                        </a:xfrm>
                      </wpg:grpSpPr>
                      <wps:wsp>
                        <wps:cNvPr id="47196" name="Shape 47196"/>
                        <wps:cNvSpPr/>
                        <wps:spPr>
                          <a:xfrm>
                            <a:off x="0" y="0"/>
                            <a:ext cx="8641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0" h="9144">
                                <a:moveTo>
                                  <a:pt x="0" y="0"/>
                                </a:moveTo>
                                <a:lnTo>
                                  <a:pt x="8641080" y="0"/>
                                </a:lnTo>
                                <a:lnTo>
                                  <a:pt x="8641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679" o:spid="_x0000_s1026" o:spt="203" style="height:0.45pt;width:680.4pt;" coordsize="8641080,6096" o:gfxdata="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pLei1AAAAAMBAAAPAAAA&#10;AAAAAAEAIAAAACIAAABkcnMvZG93bnJldi54bWxQSwECFAAUAAAACACHTuJAyhrwGFICAADiBQAA&#10;DgAAAAAAAAABACAAAAAjAQAAZHJzL2Uyb0RvYy54bWxQSwUGAAAAAAYABgBZAQAA5wUAAAAA&#10;">
                <o:lock v:ext="edit" aspectratio="f"/>
                <v:shape id="Shape 47196" o:spid="_x0000_s1026" o:spt="100" style="position:absolute;left:0;top:0;height:9144;width:8641080;" fillcolor="#000000" filled="t" stroked="f" coordsize="8641080,9144" o:gfxdata="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psxi/&#10;AAAA3gAAAA8AAAAAAAAAAQAgAAAAIgAAAGRycy9kb3ducmV2LnhtbFBLAQIUABQAAAAIAIdO4kAz&#10;LwWeOwAAADkAAAAQAAAAAAAAAAEAIAAAAA4BAABkcnMvc2hhcGV4bWwueG1sUEsFBgAAAAAGAAYA&#10;WwEAALgDAAAAAA==&#10;" path="m0,0l8641080,0,8641080,9144,0,91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5"/>
        <w:tblW w:w="13613" w:type="dxa"/>
        <w:tblInd w:w="-360" w:type="dxa"/>
        <w:tblLayout w:type="autofit"/>
        <w:tblCellMar>
          <w:top w:w="0" w:type="dxa"/>
          <w:left w:w="106" w:type="dxa"/>
          <w:bottom w:w="75" w:type="dxa"/>
          <w:right w:w="5" w:type="dxa"/>
        </w:tblCellMar>
      </w:tblPr>
      <w:tblGrid>
        <w:gridCol w:w="696"/>
        <w:gridCol w:w="1517"/>
        <w:gridCol w:w="6360"/>
        <w:gridCol w:w="5040"/>
      </w:tblGrid>
      <w:tr>
        <w:tblPrEx>
          <w:tblCellMar>
            <w:top w:w="0" w:type="dxa"/>
            <w:left w:w="106" w:type="dxa"/>
            <w:bottom w:w="75" w:type="dxa"/>
            <w:right w:w="5" w:type="dxa"/>
          </w:tblCellMar>
        </w:tblPrEx>
        <w:trPr>
          <w:trHeight w:val="170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物流与供应链管理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掌握物流与供应链管理理论与技术知识，灵活运用数学模型、复杂网络、智能算法、物流系统规划与分析、经济学等理论与技术方法，在供应链物流系统整合优化、区域物流系统布局优化与物流资源整合、物流配送系统优化、供应链风险等方面，取得符合培养要求的研究成果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复杂系统理论与方法、物流供应链管理、物流系统工程、企业数字化转型原理与方、大数据与商业智能、应急管理与决策等</w:t>
            </w:r>
          </w:p>
        </w:tc>
      </w:tr>
      <w:tr>
        <w:tblPrEx>
          <w:tblCellMar>
            <w:top w:w="0" w:type="dxa"/>
            <w:left w:w="106" w:type="dxa"/>
            <w:bottom w:w="75" w:type="dxa"/>
            <w:right w:w="5" w:type="dxa"/>
          </w:tblCellMar>
        </w:tblPrEx>
        <w:trPr>
          <w:trHeight w:val="153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能源资源与系统工程</w:t>
            </w:r>
          </w:p>
        </w:tc>
        <w:tc>
          <w:tcPr>
            <w:tcW w:w="6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掌握管理学、经济学、能源技术与环境科学领域的理论与方法，综合运用工程技术、项目管理、能源技术经济分析等知识为各级政府能源管理部门、大中型能源企业、能源金融机构等单位提供理论支持和政策建议，取得符合培养要求的研究成果。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管理研究方法、高级运筹学、能源经济学、能源产业管理、能源与环境系统工程等</w:t>
            </w:r>
          </w:p>
        </w:tc>
      </w:tr>
    </w:tbl>
    <w:p>
      <w:pPr>
        <w:spacing w:after="86"/>
        <w:ind w:left="10" w:right="-15" w:hanging="10"/>
        <w:jc w:val="right"/>
      </w:pPr>
      <w:r>
        <w:rPr>
          <w:rFonts w:ascii="宋体" w:hAnsi="宋体" w:eastAsia="宋体" w:cs="宋体"/>
          <w:sz w:val="21"/>
        </w:rPr>
        <w:t>316</w:t>
      </w: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40" w:h="11900" w:orient="landscape"/>
          <w:pgMar w:top="889" w:right="8291" w:bottom="714" w:left="1944" w:header="879" w:footer="720" w:gutter="0"/>
          <w:cols w:space="720" w:num="1"/>
        </w:sectPr>
      </w:pPr>
    </w:p>
    <w:p>
      <w:pPr>
        <w:spacing w:after="0"/>
        <w:ind w:left="-24" w:firstLine="6341"/>
      </w:pPr>
      <w:r>
        <w:rPr>
          <w:rFonts w:ascii="微软雅黑" w:hAnsi="微软雅黑" w:eastAsia="微软雅黑" w:cs="微软雅黑"/>
          <w:sz w:val="21"/>
        </w:rPr>
        <w:t>管理科学与工程学科</w:t>
      </w:r>
      <w:r>
        <w:rPr>
          <w:rFonts w:ascii="黑体" w:hAnsi="黑体" w:eastAsia="黑体" w:cs="黑体"/>
          <w:sz w:val="28"/>
        </w:rPr>
        <w:t>附表2：培养计划</w:t>
      </w:r>
    </w:p>
    <w:tbl>
      <w:tblPr>
        <w:tblStyle w:val="5"/>
        <w:tblW w:w="9005" w:type="dxa"/>
        <w:tblInd w:w="10" w:type="dxa"/>
        <w:tblLayout w:type="autofit"/>
        <w:tblCellMar>
          <w:top w:w="43" w:type="dxa"/>
          <w:left w:w="106" w:type="dxa"/>
          <w:bottom w:w="7" w:type="dxa"/>
          <w:right w:w="87" w:type="dxa"/>
        </w:tblCellMar>
      </w:tblPr>
      <w:tblGrid>
        <w:gridCol w:w="688"/>
        <w:gridCol w:w="545"/>
        <w:gridCol w:w="766"/>
        <w:gridCol w:w="1003"/>
        <w:gridCol w:w="1653"/>
        <w:gridCol w:w="1439"/>
        <w:gridCol w:w="1148"/>
        <w:gridCol w:w="541"/>
        <w:gridCol w:w="545"/>
        <w:gridCol w:w="677"/>
      </w:tblGrid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466" w:hRule="atLeast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1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学科名称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管理科学与工程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97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学科代码</w:t>
            </w:r>
          </w:p>
        </w:tc>
        <w:tc>
          <w:tcPr>
            <w:tcW w:w="2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1201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461" w:hRule="atLeast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1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单位名称</w:t>
            </w:r>
          </w:p>
        </w:tc>
        <w:tc>
          <w:tcPr>
            <w:tcW w:w="3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管理学院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97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培养类型</w:t>
            </w:r>
          </w:p>
        </w:tc>
        <w:tc>
          <w:tcPr>
            <w:tcW w:w="2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学术学位硕士研究生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725" w:hRule="atLeast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学分要求</w:t>
            </w:r>
          </w:p>
        </w:tc>
        <w:tc>
          <w:tcPr>
            <w:tcW w:w="77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总学分≥34 学分，课程学分≥28 学分，必修课程学分≥19 学分，选修课程学分≥9 学分。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571" w:hRule="atLeast"/>
        </w:trPr>
        <w:tc>
          <w:tcPr>
            <w:tcW w:w="9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课程设置</w:t>
            </w:r>
            <w:r>
              <w:rPr>
                <w:rFonts w:ascii="微软雅黑" w:hAnsi="微软雅黑" w:eastAsia="微软雅黑" w:cs="微软雅黑"/>
                <w:sz w:val="21"/>
              </w:rPr>
              <w:t>（中英文对照）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571" w:hRule="atLeast"/>
        </w:trPr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课程类型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课程编码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课程名称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8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学期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850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学位课程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9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公共必修课程</w:t>
            </w:r>
          </w:p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8 学分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G16007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新时代中国特色社会主义理论与实践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Theory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Practice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of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Socialism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with Chinese Characteristics for a New Era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G16003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自然辩证法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Dialectics of nature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G14001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研究生英语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English for Graduate Students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3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G14003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口语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Oral Language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G15003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论文写作与学术规范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Thesis Writing and Academic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4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学科平台课程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≥11 学分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G11003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数理统计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Mathematical Statistics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选修</w:t>
            </w:r>
          </w:p>
          <w:p>
            <w:pPr>
              <w:spacing w:after="0"/>
              <w:ind w:firstLine="1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1-2 门全英文课程</w:t>
            </w:r>
          </w:p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180008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管理研究方法（全英文授课）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Research Methods of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180110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数据科学理论与方法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Theory and Methods for Data Science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决策理论与方法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Decision Theory and Methods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180001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高级运筹学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Advanced Operational Research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180113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复杂系统理论与方法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Theory and Methods for Complex System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非学位课程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79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方向选修课程</w:t>
            </w:r>
          </w:p>
          <w:p>
            <w:pPr>
              <w:spacing w:after="0"/>
              <w:ind w:left="158"/>
            </w:pPr>
            <w:r>
              <w:rPr>
                <w:rFonts w:ascii="微软雅黑" w:hAnsi="微软雅黑" w:eastAsia="微软雅黑" w:cs="微软雅黑"/>
                <w:sz w:val="21"/>
              </w:rPr>
              <w:t>≥8 学分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180006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高级管理学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Advanced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180009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多元统计分析与应用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Multivariate Statistical Analysis and Application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180072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博弈论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Game Theory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180074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应急管理与决策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Emergency Management and Decision Making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7" w:type="dxa"/>
            <w:right w:w="87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180019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创新管理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Innovation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-1440" w:right="6"/>
      </w:pPr>
    </w:p>
    <w:tbl>
      <w:tblPr>
        <w:tblStyle w:val="5"/>
        <w:tblW w:w="9005" w:type="dxa"/>
        <w:tblInd w:w="10" w:type="dxa"/>
        <w:tblLayout w:type="autofit"/>
        <w:tblCellMar>
          <w:top w:w="43" w:type="dxa"/>
          <w:left w:w="106" w:type="dxa"/>
          <w:bottom w:w="0" w:type="dxa"/>
          <w:right w:w="90" w:type="dxa"/>
        </w:tblCellMar>
      </w:tblPr>
      <w:tblGrid>
        <w:gridCol w:w="684"/>
        <w:gridCol w:w="1310"/>
        <w:gridCol w:w="1006"/>
        <w:gridCol w:w="4248"/>
        <w:gridCol w:w="540"/>
        <w:gridCol w:w="545"/>
        <w:gridCol w:w="672"/>
      </w:tblGrid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180015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知识管理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Knowledge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180004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信息系统与信息资源管理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Information Management and Information System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大数据与商业智能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Big Data and Business Intelligence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9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企业数字化转型原理与方法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Principles and Methods for Enterprise Digital Transformation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人工智能导论</w:t>
            </w:r>
          </w:p>
          <w:p>
            <w:pPr>
              <w:spacing w:after="0"/>
              <w:ind w:left="58"/>
            </w:pPr>
            <w:r>
              <w:rPr>
                <w:rFonts w:ascii="微软雅黑" w:hAnsi="微软雅黑" w:eastAsia="微软雅黑" w:cs="微软雅黑"/>
                <w:sz w:val="21"/>
              </w:rPr>
              <w:t>Introduction to Artificial Intelligence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180010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现代工业工程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Modern Industrial Engineering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180012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物流与供应链管理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Logistics and Supply Chain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180091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智能制造工程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Intelligent Manufacturing Engineering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智慧物流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Intelligent Logistics System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180021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系统分析建模与仿真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System Modeling and Simulation with Witness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能源经济学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Energy Economics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180077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服务科学与管理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Service Science and Management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8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180078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资源与环境系统工程</w:t>
            </w:r>
          </w:p>
          <w:p>
            <w:pPr>
              <w:tabs>
                <w:tab w:val="center" w:pos="383"/>
                <w:tab w:val="center" w:pos="1298"/>
                <w:tab w:val="center" w:pos="2431"/>
                <w:tab w:val="center" w:pos="3749"/>
              </w:tabs>
              <w:spacing w:after="24"/>
            </w:pPr>
            <w: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Resource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Environmental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Systems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Engineering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180115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碳中和理论与实践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Theory and practice of Carbon Neutralization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9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</w:pPr>
            <w:r>
              <w:rPr>
                <w:rFonts w:ascii="微软雅黑" w:hAnsi="微软雅黑" w:eastAsia="微软雅黑" w:cs="微软雅黑"/>
                <w:sz w:val="21"/>
              </w:rPr>
              <w:t>180076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管理科学与工程前沿专题（全英文授课）</w:t>
            </w:r>
          </w:p>
          <w:p>
            <w:pPr>
              <w:tabs>
                <w:tab w:val="center" w:pos="330"/>
                <w:tab w:val="center" w:pos="1221"/>
                <w:tab w:val="center" w:pos="2064"/>
                <w:tab w:val="center" w:pos="2623"/>
                <w:tab w:val="center" w:pos="3328"/>
                <w:tab w:val="center" w:pos="4006"/>
              </w:tabs>
              <w:spacing w:after="24"/>
            </w:pPr>
            <w: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Frontier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Research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Report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on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Discipline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of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Management Science and Engineering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4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素养选修课程</w:t>
            </w:r>
          </w:p>
          <w:p>
            <w:pPr>
              <w:spacing w:after="0"/>
              <w:ind w:right="2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 学分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G31001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中国传统文化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Traditional Culture of China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G02060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科研素养与创新能力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Scientific Literacy and Innovation Capacity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G17070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经济学基础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Foundations of Economics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85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G05024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计算机科学前沿技术应用系列讲座</w:t>
            </w:r>
          </w:p>
          <w:p>
            <w:pPr>
              <w:spacing w:after="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The Lectures on the Frontier Technology and Application of the Computer Science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0" w:type="dxa"/>
            <w:right w:w="9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G19002</w:t>
            </w:r>
          </w:p>
        </w:tc>
        <w:tc>
          <w:tcPr>
            <w:tcW w:w="4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美术鉴赏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Art Appreciation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6327" w:hanging="10"/>
      </w:pPr>
      <w:r>
        <w:rPr>
          <w:rFonts w:ascii="微软雅黑" w:hAnsi="微软雅黑" w:eastAsia="微软雅黑" w:cs="微软雅黑"/>
          <w:sz w:val="21"/>
        </w:rPr>
        <w:t>管理科学与工程学科</w:t>
      </w:r>
    </w:p>
    <w:tbl>
      <w:tblPr>
        <w:tblStyle w:val="5"/>
        <w:tblW w:w="9005" w:type="dxa"/>
        <w:tblInd w:w="10" w:type="dxa"/>
        <w:tblLayout w:type="autofit"/>
        <w:tblCellMar>
          <w:top w:w="58" w:type="dxa"/>
          <w:left w:w="106" w:type="dxa"/>
          <w:bottom w:w="0" w:type="dxa"/>
          <w:right w:w="0" w:type="dxa"/>
        </w:tblCellMar>
      </w:tblPr>
      <w:tblGrid>
        <w:gridCol w:w="690"/>
        <w:gridCol w:w="874"/>
        <w:gridCol w:w="446"/>
        <w:gridCol w:w="950"/>
        <w:gridCol w:w="1925"/>
        <w:gridCol w:w="1728"/>
        <w:gridCol w:w="624"/>
        <w:gridCol w:w="542"/>
        <w:gridCol w:w="548"/>
        <w:gridCol w:w="678"/>
      </w:tblGrid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</w:pPr>
            <w:r>
              <w:rPr>
                <w:rFonts w:ascii="微软雅黑" w:hAnsi="微软雅黑" w:eastAsia="微软雅黑" w:cs="微软雅黑"/>
                <w:sz w:val="21"/>
              </w:rPr>
              <w:t>G02010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科技英语写作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Technical English Writing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1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其他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补修课程</w:t>
            </w:r>
            <w:r>
              <w:rPr>
                <w:rFonts w:ascii="微软雅黑" w:hAnsi="微软雅黑" w:eastAsia="微软雅黑" w:cs="微软雅黑"/>
                <w:sz w:val="21"/>
              </w:rPr>
              <w:t>不计学分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从培养方向依托本科专业的主干课程中选择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2 门及以上课程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导师组共同商定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0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其他培养环节</w:t>
            </w:r>
            <w:r>
              <w:rPr>
                <w:rFonts w:ascii="微软雅黑" w:hAnsi="微软雅黑" w:eastAsia="微软雅黑" w:cs="微软雅黑"/>
                <w:sz w:val="21"/>
              </w:rPr>
              <w:t>（6 学分）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54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培养环节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1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相关内容及要求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学期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6" w:right="20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开题报告</w:t>
            </w:r>
            <w:r>
              <w:rPr>
                <w:rFonts w:ascii="微软雅黑" w:hAnsi="微软雅黑" w:eastAsia="微软雅黑" w:cs="微软雅黑"/>
                <w:sz w:val="21"/>
              </w:rPr>
              <w:t>（1 学分）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通过文献阅读、学术调研，确定论文选题和研究内容，经导师同意后于第三学期末提交开题报告并通过开题。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3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  <w:ind w:left="43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中期筛选考核</w:t>
            </w:r>
          </w:p>
          <w:p>
            <w:pPr>
              <w:spacing w:after="0"/>
              <w:ind w:left="178"/>
            </w:pPr>
            <w:r>
              <w:rPr>
                <w:rFonts w:ascii="微软雅黑" w:hAnsi="微软雅黑" w:eastAsia="微软雅黑" w:cs="微软雅黑"/>
                <w:sz w:val="21"/>
              </w:rPr>
              <w:t>（1 学分）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22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对研究生的思政、科研、实践及综合素质等方面进行综合考核并达到要求。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2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4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6" w:right="20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实习实践</w:t>
            </w:r>
            <w:r>
              <w:rPr>
                <w:rFonts w:ascii="微软雅黑" w:hAnsi="微软雅黑" w:eastAsia="微软雅黑" w:cs="微软雅黑"/>
                <w:sz w:val="21"/>
              </w:rPr>
              <w:t>（2 学分）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1" w:lineRule="auto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教学实践：包括助课，协助指导毕业设计、课程设计和实习等，教学实践累计不少于 1 个月的工作量，由导师安排并考核，写出考核评语，考核通过即获得 1 学分。</w:t>
            </w:r>
          </w:p>
          <w:p>
            <w:p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专业实践：包括参与导师科研项目、到生产和设计研究单位进行实践锻炼、参加结合研究方向的科研工作或实验室等工作，专业实践累计应不少于 1 个月的时间（一般利用寒暑假），具体由导师安排并考核。导师考核合格即可获得 1 学分。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微软雅黑" w:hAnsi="微软雅黑" w:eastAsia="微软雅黑" w:cs="微软雅黑"/>
                <w:sz w:val="21"/>
              </w:rPr>
              <w:t>2-5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6" w:right="20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创新创业</w:t>
            </w:r>
            <w:r>
              <w:rPr>
                <w:rFonts w:ascii="微软雅黑" w:hAnsi="微软雅黑" w:eastAsia="微软雅黑" w:cs="微软雅黑"/>
                <w:sz w:val="21"/>
              </w:rPr>
              <w:t>（2 学分）</w:t>
            </w:r>
          </w:p>
        </w:tc>
        <w:tc>
          <w:tcPr>
            <w:tcW w:w="6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2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进行 3 个月以上的出国访学研修或学术交流；</w:t>
            </w:r>
          </w:p>
          <w:p>
            <w:pPr>
              <w:numPr>
                <w:ilvl w:val="0"/>
                <w:numId w:val="1"/>
              </w:numPr>
              <w:spacing w:after="0" w:line="284" w:lineRule="auto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参加与管理科学与工程专业相关的学术会议，做公开学术报告 2 次；</w:t>
            </w:r>
          </w:p>
          <w:p>
            <w:pPr>
              <w:numPr>
                <w:ilvl w:val="0"/>
                <w:numId w:val="1"/>
              </w:numPr>
              <w:spacing w:after="5" w:line="279" w:lineRule="auto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参加与管理科学与工程专业相关的省级以上科技竞赛、创意设计、创新创业竞赛等，并获三等奖以上 1 次；</w:t>
            </w:r>
          </w:p>
          <w:p>
            <w:pPr>
              <w:numPr>
                <w:ilvl w:val="0"/>
                <w:numId w:val="1"/>
              </w:numPr>
              <w:spacing w:after="0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参加 6 次以上与本学科相关的学术报告，并提交总结；每项记 1 学分，需完成 2 学分。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2"/>
            </w:pPr>
            <w:r>
              <w:rPr>
                <w:rFonts w:ascii="微软雅黑" w:hAnsi="微软雅黑" w:eastAsia="微软雅黑" w:cs="微软雅黑"/>
                <w:sz w:val="21"/>
              </w:rPr>
              <w:t>1-5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培养单位教授委员会主任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23"/>
            </w:pPr>
            <w:r>
              <w:drawing>
                <wp:inline distT="0" distB="0" distL="0" distR="0">
                  <wp:extent cx="1023620" cy="542290"/>
                  <wp:effectExtent l="0" t="0" r="0" b="0"/>
                  <wp:docPr id="3273" name="Picture 3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9" w:right="125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培养单位负责人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62"/>
            </w:pPr>
            <w:r>
              <w:drawing>
                <wp:inline distT="0" distB="0" distL="0" distR="0">
                  <wp:extent cx="1130300" cy="429260"/>
                  <wp:effectExtent l="0" t="0" r="12700" b="12700"/>
                  <wp:docPr id="3275" name="Picture 3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08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8549"/>
    </w:pP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1676" name="Picture 1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" name="Picture 16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6168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1021080</wp:posOffset>
          </wp:positionH>
          <wp:positionV relativeFrom="page">
            <wp:posOffset>558165</wp:posOffset>
          </wp:positionV>
          <wp:extent cx="490855" cy="457200"/>
          <wp:effectExtent l="0" t="0" r="12065" b="0"/>
          <wp:wrapSquare wrapText="bothSides"/>
          <wp:docPr id="2151" name="Picture 21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1" name="Picture 21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8549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998481660" name="Picture 1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481660" name="Picture 16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11C66"/>
    <w:multiLevelType w:val="multilevel"/>
    <w:tmpl w:val="61A11C66"/>
    <w:lvl w:ilvl="0" w:tentative="0">
      <w:start w:val="1"/>
      <w:numFmt w:val="decimal"/>
      <w:lvlText w:val="%1."/>
      <w:lvlJc w:val="left"/>
      <w:pPr>
        <w:ind w:left="21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0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2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4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6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8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0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2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4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jMyN2QwMDE1NjlkNGExZGViNzE3ZDAxOTRkMGYifQ=="/>
  </w:docVars>
  <w:rsids>
    <w:rsidRoot w:val="00000000"/>
    <w:rsid w:val="493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211" w:line="259" w:lineRule="auto"/>
      <w:ind w:left="509" w:hanging="10"/>
      <w:outlineLvl w:val="1"/>
    </w:pPr>
    <w:rPr>
      <w:rFonts w:ascii="黑体" w:hAnsi="黑体" w:eastAsia="黑体" w:cs="黑体"/>
      <w:color w:val="000000"/>
      <w:kern w:val="2"/>
      <w:sz w:val="25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2023-04-24T08:21:20Z</dcterms:created>
  <dc:creator>Lenovo</dc:creator>
  <cp:lastModifiedBy>tp14369</cp:lastModifiedBy>
  <dcterms:modified xsi:type="dcterms:W3CDTF">2023-04-24T08:22:05Z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78AAB572C49E4B26B6FE44F7DF4AE521_12</vt:lpwstr>
  </property>
</Properties>
</file>