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4B76" w14:textId="77777777" w:rsidR="004756C9" w:rsidRDefault="00F6097F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37A9E8FA" w14:textId="77777777" w:rsidR="004756C9" w:rsidRDefault="00F6097F">
      <w:pPr>
        <w:adjustRightInd w:val="0"/>
        <w:snapToGrid w:val="0"/>
        <w:spacing w:beforeLines="100" w:before="312" w:afterLines="150" w:after="468"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评审工作基本原则及评分标准</w:t>
      </w:r>
    </w:p>
    <w:p w14:paraId="0C5B8302" w14:textId="70B018AE" w:rsidR="004756C9" w:rsidRDefault="00F6097F">
      <w:pPr>
        <w:adjustRightInd w:val="0"/>
        <w:snapToGrid w:val="0"/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Toc30128"/>
      <w:bookmarkStart w:id="1" w:name="_Toc32123"/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竞赛</w:t>
      </w:r>
      <w:r>
        <w:rPr>
          <w:rFonts w:ascii="仿宋_GB2312" w:eastAsia="仿宋_GB2312"/>
          <w:sz w:val="32"/>
          <w:szCs w:val="32"/>
        </w:rPr>
        <w:t>下设</w:t>
      </w:r>
      <w:r>
        <w:rPr>
          <w:rFonts w:ascii="仿宋_GB2312" w:eastAsia="仿宋_GB2312" w:hint="eastAsia"/>
          <w:sz w:val="32"/>
          <w:szCs w:val="32"/>
        </w:rPr>
        <w:t>科技创新和未来产业、乡村振兴和</w:t>
      </w:r>
      <w:r>
        <w:rPr>
          <w:rFonts w:ascii="仿宋_GB2312" w:eastAsia="仿宋_GB2312" w:hint="eastAsia"/>
          <w:sz w:val="32"/>
          <w:szCs w:val="32"/>
        </w:rPr>
        <w:t>巩固</w:t>
      </w:r>
      <w:r>
        <w:rPr>
          <w:rFonts w:ascii="仿宋_GB2312" w:eastAsia="仿宋_GB2312" w:hint="eastAsia"/>
          <w:sz w:val="32"/>
          <w:szCs w:val="32"/>
        </w:rPr>
        <w:t>脱贫攻坚</w:t>
      </w:r>
      <w:r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、城市治理和社会服务、生态环保和可持续发展、文化创意和区域合作五个组别。</w:t>
      </w:r>
    </w:p>
    <w:p w14:paraId="2DBDA271" w14:textId="6D5A9868" w:rsidR="004756C9" w:rsidRDefault="00F6097F">
      <w:pPr>
        <w:snapToGrid w:val="0"/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评审过程中综合考虑作品的</w:t>
      </w:r>
      <w:r>
        <w:rPr>
          <w:rFonts w:ascii="仿宋_GB2312" w:eastAsia="仿宋_GB2312" w:hAnsi="仿宋_GB2312" w:cs="仿宋_GB2312" w:hint="eastAsia"/>
          <w:bCs/>
          <w:kern w:val="32"/>
          <w:sz w:val="32"/>
          <w:szCs w:val="32"/>
        </w:rPr>
        <w:t>操作性、应用性以及市场潜力、社会价值和发展前景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竞赛面向我校在校学生，以商业计划书评审、现场答辩等作为参赛项目的主要评价内容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F0DA429" w14:textId="77777777" w:rsidR="004756C9" w:rsidRDefault="00F6097F">
      <w:pPr>
        <w:snapToGrid w:val="0"/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各类作品之间评选标准是相对的。评审按百分制评出原始分，具体权重如下：</w:t>
      </w:r>
    </w:p>
    <w:p w14:paraId="295FB44E" w14:textId="77777777" w:rsidR="004756C9" w:rsidRDefault="004756C9">
      <w:pPr>
        <w:snapToGrid w:val="0"/>
        <w:spacing w:line="7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794CE08" w14:textId="77777777" w:rsidR="004756C9" w:rsidRDefault="00F6097F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540"/>
        <w:gridCol w:w="5968"/>
      </w:tblGrid>
      <w:tr w:rsidR="004756C9" w14:paraId="05560A25" w14:textId="77777777" w:rsidTr="00F6097F">
        <w:trPr>
          <w:cantSplit/>
          <w:trHeight w:val="624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D81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41C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参考权重</w:t>
            </w:r>
          </w:p>
        </w:tc>
        <w:tc>
          <w:tcPr>
            <w:tcW w:w="5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37F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评价内容</w:t>
            </w:r>
          </w:p>
        </w:tc>
      </w:tr>
      <w:tr w:rsidR="004756C9" w14:paraId="0B84B5BE" w14:textId="77777777" w:rsidTr="00F6097F">
        <w:trPr>
          <w:cantSplit/>
          <w:trHeight w:val="62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A19" w14:textId="77777777" w:rsidR="004756C9" w:rsidRDefault="004756C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4D0" w14:textId="77777777" w:rsidR="004756C9" w:rsidRDefault="004756C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055" w14:textId="77777777" w:rsidR="004756C9" w:rsidRDefault="004756C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756C9" w14:paraId="2ADBA7FC" w14:textId="77777777" w:rsidTr="00F6097F">
        <w:trPr>
          <w:trHeight w:val="19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D0C" w14:textId="77777777" w:rsidR="004756C9" w:rsidRDefault="00F609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创业机会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9F3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B08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）考虑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产业背景和目标顾客以及市场机会、市场需求、市场竞争环境</w:t>
            </w:r>
          </w:p>
          <w:p w14:paraId="0E9FFDE3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项目的独创性、领先性以及实现产业化的途径</w:t>
            </w:r>
          </w:p>
        </w:tc>
      </w:tr>
      <w:tr w:rsidR="004756C9" w14:paraId="7F3B8165" w14:textId="77777777" w:rsidTr="00F6097F">
        <w:trPr>
          <w:trHeight w:val="19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311" w14:textId="77777777" w:rsidR="004756C9" w:rsidRDefault="00F609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发展战略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8D1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1B5D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）考虑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商业模式、研发方向、扩张策略，合作伙伴、竞争对手</w:t>
            </w:r>
          </w:p>
          <w:p w14:paraId="1912BF24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对技术、市场、财务等问题提出合理的规避计划</w:t>
            </w:r>
          </w:p>
        </w:tc>
      </w:tr>
      <w:tr w:rsidR="004756C9" w14:paraId="7C5BEE68" w14:textId="77777777" w:rsidTr="00F6097F">
        <w:trPr>
          <w:trHeight w:val="19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FE2C" w14:textId="77777777" w:rsidR="004756C9" w:rsidRDefault="00F609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营销策略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8D7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530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考虑是否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结合项目其自身产品、技术或服务的价格定位、渠道建设、推广策略制定市场营销策略</w:t>
            </w:r>
          </w:p>
        </w:tc>
      </w:tr>
      <w:tr w:rsidR="004756C9" w14:paraId="125EAFFD" w14:textId="77777777" w:rsidTr="00F6097F">
        <w:trPr>
          <w:trHeight w:val="19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22A" w14:textId="77777777" w:rsidR="004756C9" w:rsidRDefault="00F609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财务管理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529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223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股本结构与规模、资金来源与运用效果</w:t>
            </w:r>
          </w:p>
          <w:p w14:paraId="35622CD5" w14:textId="77777777" w:rsidR="004756C9" w:rsidRDefault="00F6097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盈利能力、风险资金退出策略</w:t>
            </w:r>
          </w:p>
        </w:tc>
      </w:tr>
      <w:tr w:rsidR="004756C9" w14:paraId="7529D95D" w14:textId="77777777" w:rsidTr="00F6097F">
        <w:trPr>
          <w:trHeight w:val="19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0C2" w14:textId="77777777" w:rsidR="004756C9" w:rsidRDefault="00F609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团队管理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6FD" w14:textId="77777777" w:rsidR="004756C9" w:rsidRDefault="00F6097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30F" w14:textId="77777777" w:rsidR="004756C9" w:rsidRDefault="00F6097F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）管理团队各成员介绍和成员的分工与互补</w:t>
            </w:r>
          </w:p>
          <w:p w14:paraId="4DEC168C" w14:textId="77777777" w:rsidR="004756C9" w:rsidRDefault="00F6097F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）公司组织构架、领导层成员及股权分配</w:t>
            </w:r>
          </w:p>
        </w:tc>
      </w:tr>
      <w:bookmarkEnd w:id="0"/>
      <w:bookmarkEnd w:id="1"/>
    </w:tbl>
    <w:p w14:paraId="6184C330" w14:textId="77777777" w:rsidR="004756C9" w:rsidRDefault="004756C9"/>
    <w:sectPr w:rsidR="0047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92"/>
    <w:rsid w:val="00202800"/>
    <w:rsid w:val="002053CF"/>
    <w:rsid w:val="002D5E6E"/>
    <w:rsid w:val="00315727"/>
    <w:rsid w:val="0046212D"/>
    <w:rsid w:val="004756C9"/>
    <w:rsid w:val="00556F8E"/>
    <w:rsid w:val="006122A5"/>
    <w:rsid w:val="008C6EDE"/>
    <w:rsid w:val="008E4291"/>
    <w:rsid w:val="00BF73B3"/>
    <w:rsid w:val="00DF7CDD"/>
    <w:rsid w:val="00EB3593"/>
    <w:rsid w:val="00EF25D6"/>
    <w:rsid w:val="00F44592"/>
    <w:rsid w:val="00F6097F"/>
    <w:rsid w:val="00FD0BF0"/>
    <w:rsid w:val="216A310A"/>
    <w:rsid w:val="301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DF302"/>
  <w15:docId w15:val="{2CDD2186-80D6-468C-8044-3965A77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</cp:revision>
  <dcterms:created xsi:type="dcterms:W3CDTF">2019-06-11T05:08:00Z</dcterms:created>
  <dcterms:modified xsi:type="dcterms:W3CDTF">2023-10-16T05:29:00Z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940C0B76647340E583397A3B2AD41CB0</vt:lpwstr>
  </property>
</Properties>
</file>